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6F" w:rsidRPr="0041556F" w:rsidRDefault="0041556F" w:rsidP="0041556F">
      <w:pPr>
        <w:shd w:val="clear" w:color="auto" w:fill="FFFFFF"/>
        <w:spacing w:line="240" w:lineRule="auto"/>
        <w:textAlignment w:val="top"/>
        <w:outlineLvl w:val="0"/>
        <w:rPr>
          <w:rFonts w:ascii="Arial" w:eastAsia="Times New Roman" w:hAnsi="Arial" w:cs="Arial"/>
          <w:color w:val="182D88"/>
          <w:kern w:val="36"/>
          <w:sz w:val="34"/>
          <w:szCs w:val="34"/>
        </w:rPr>
      </w:pPr>
      <w:r w:rsidRPr="0041556F">
        <w:rPr>
          <w:rFonts w:ascii="Arial" w:eastAsia="Times New Roman" w:hAnsi="Arial" w:cs="Arial"/>
          <w:color w:val="182D88"/>
          <w:kern w:val="36"/>
          <w:sz w:val="34"/>
          <w:szCs w:val="34"/>
        </w:rPr>
        <w:t>Требования к приборам учета и их установке</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proofErr w:type="gramStart"/>
      <w:r w:rsidRPr="0041556F">
        <w:rPr>
          <w:rFonts w:ascii="Arial" w:eastAsia="Times New Roman" w:hAnsi="Arial" w:cs="Arial"/>
          <w:color w:val="545454"/>
          <w:sz w:val="17"/>
          <w:szCs w:val="17"/>
        </w:rPr>
        <w:t>Прибор учета электроэнергии - средство измерения, используемое для определения объемов (количества) потребления (производства, передачи) электрической энергии потребителями (гарантирующим поставщиком, сетевыми организациями).</w:t>
      </w:r>
      <w:proofErr w:type="gramEnd"/>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proofErr w:type="gramStart"/>
      <w:r w:rsidRPr="0041556F">
        <w:rPr>
          <w:rFonts w:ascii="Arial" w:eastAsia="Times New Roman" w:hAnsi="Arial" w:cs="Arial"/>
          <w:color w:val="545454"/>
          <w:sz w:val="17"/>
          <w:szCs w:val="17"/>
        </w:rPr>
        <w:t xml:space="preserve">Приборы учета, показания которых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w:t>
      </w:r>
      <w:proofErr w:type="spellStart"/>
      <w:r w:rsidRPr="0041556F">
        <w:rPr>
          <w:rFonts w:ascii="Arial" w:eastAsia="Times New Roman" w:hAnsi="Arial" w:cs="Arial"/>
          <w:color w:val="545454"/>
          <w:sz w:val="17"/>
          <w:szCs w:val="17"/>
        </w:rPr>
        <w:t>электросетевого</w:t>
      </w:r>
      <w:proofErr w:type="spellEnd"/>
      <w:r w:rsidRPr="0041556F">
        <w:rPr>
          <w:rFonts w:ascii="Arial" w:eastAsia="Times New Roman" w:hAnsi="Arial" w:cs="Arial"/>
          <w:color w:val="545454"/>
          <w:sz w:val="17"/>
          <w:szCs w:val="17"/>
        </w:rPr>
        <w:t xml:space="preserve">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Постановлению Правительства Российской Федерации от 4 мая 2012 г.  №  442 «О</w:t>
      </w:r>
      <w:proofErr w:type="gramEnd"/>
      <w:r w:rsidRPr="0041556F">
        <w:rPr>
          <w:rFonts w:ascii="Arial" w:eastAsia="Times New Roman" w:hAnsi="Arial" w:cs="Arial"/>
          <w:color w:val="545454"/>
          <w:sz w:val="17"/>
          <w:szCs w:val="17"/>
        </w:rPr>
        <w:t xml:space="preserve"> </w:t>
      </w:r>
      <w:proofErr w:type="gramStart"/>
      <w:r w:rsidRPr="0041556F">
        <w:rPr>
          <w:rFonts w:ascii="Arial" w:eastAsia="Times New Roman" w:hAnsi="Arial" w:cs="Arial"/>
          <w:color w:val="545454"/>
          <w:sz w:val="17"/>
          <w:szCs w:val="17"/>
        </w:rPr>
        <w:t>функционировании розничных рынков электрической энергии, полном и (или) частичном ограничении режима потребления электрической энергии», в том числе по их классу точности, быть допущенными в эксплуатацию в установленном порядке, иметь неповрежденные контрольные пломбы и (или) знаки визуального контроля.</w:t>
      </w:r>
      <w:proofErr w:type="gramEnd"/>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 xml:space="preserve">Для учета электрической энергии, потребляемой гражданами, а также на границе раздела объектов </w:t>
      </w:r>
      <w:proofErr w:type="spellStart"/>
      <w:r w:rsidRPr="0041556F">
        <w:rPr>
          <w:rFonts w:ascii="Arial" w:eastAsia="Times New Roman" w:hAnsi="Arial" w:cs="Arial"/>
          <w:color w:val="545454"/>
          <w:sz w:val="17"/>
          <w:szCs w:val="17"/>
        </w:rPr>
        <w:t>электросетевого</w:t>
      </w:r>
      <w:proofErr w:type="spellEnd"/>
      <w:r w:rsidRPr="0041556F">
        <w:rPr>
          <w:rFonts w:ascii="Arial" w:eastAsia="Times New Roman" w:hAnsi="Arial" w:cs="Arial"/>
          <w:color w:val="545454"/>
          <w:sz w:val="17"/>
          <w:szCs w:val="17"/>
        </w:rPr>
        <w:t xml:space="preserve"> хозяйства и внутридомовых инженерных систем многоквартирного дома подлежат использованию приборы учета класса точности 2,0 и выше.</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 xml:space="preserve">В многоквартирных домах, присоединение которых к объектам </w:t>
      </w:r>
      <w:proofErr w:type="spellStart"/>
      <w:r w:rsidRPr="0041556F">
        <w:rPr>
          <w:rFonts w:ascii="Arial" w:eastAsia="Times New Roman" w:hAnsi="Arial" w:cs="Arial"/>
          <w:color w:val="545454"/>
          <w:sz w:val="17"/>
          <w:szCs w:val="17"/>
        </w:rPr>
        <w:t>электросетевого</w:t>
      </w:r>
      <w:proofErr w:type="spellEnd"/>
      <w:r w:rsidRPr="0041556F">
        <w:rPr>
          <w:rFonts w:ascii="Arial" w:eastAsia="Times New Roman" w:hAnsi="Arial" w:cs="Arial"/>
          <w:color w:val="545454"/>
          <w:sz w:val="17"/>
          <w:szCs w:val="17"/>
        </w:rPr>
        <w:t xml:space="preserve"> хозяйства осуществляется после вступления в силу настоящего документа, на границе раздела объектов </w:t>
      </w:r>
      <w:proofErr w:type="spellStart"/>
      <w:r w:rsidRPr="0041556F">
        <w:rPr>
          <w:rFonts w:ascii="Arial" w:eastAsia="Times New Roman" w:hAnsi="Arial" w:cs="Arial"/>
          <w:color w:val="545454"/>
          <w:sz w:val="17"/>
          <w:szCs w:val="17"/>
        </w:rPr>
        <w:t>электросетевого</w:t>
      </w:r>
      <w:proofErr w:type="spellEnd"/>
      <w:r w:rsidRPr="0041556F">
        <w:rPr>
          <w:rFonts w:ascii="Arial" w:eastAsia="Times New Roman" w:hAnsi="Arial" w:cs="Arial"/>
          <w:color w:val="545454"/>
          <w:sz w:val="17"/>
          <w:szCs w:val="17"/>
        </w:rPr>
        <w:t xml:space="preserve"> хозяйства и внутридомовых инженерных систем подлежат установке коллективные (</w:t>
      </w:r>
      <w:proofErr w:type="spellStart"/>
      <w:r w:rsidRPr="0041556F">
        <w:rPr>
          <w:rFonts w:ascii="Arial" w:eastAsia="Times New Roman" w:hAnsi="Arial" w:cs="Arial"/>
          <w:color w:val="545454"/>
          <w:sz w:val="17"/>
          <w:szCs w:val="17"/>
        </w:rPr>
        <w:t>общедомовые</w:t>
      </w:r>
      <w:proofErr w:type="spellEnd"/>
      <w:r w:rsidRPr="0041556F">
        <w:rPr>
          <w:rFonts w:ascii="Arial" w:eastAsia="Times New Roman" w:hAnsi="Arial" w:cs="Arial"/>
          <w:color w:val="545454"/>
          <w:sz w:val="17"/>
          <w:szCs w:val="17"/>
        </w:rPr>
        <w:t>) приборы учета класса точности 1,0 и выше.</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proofErr w:type="gramStart"/>
      <w:r w:rsidRPr="0041556F">
        <w:rPr>
          <w:rFonts w:ascii="Arial" w:eastAsia="Times New Roman" w:hAnsi="Arial" w:cs="Arial"/>
          <w:color w:val="545454"/>
          <w:sz w:val="17"/>
          <w:szCs w:val="17"/>
        </w:rPr>
        <w:t xml:space="preserve">Для учета электрической энергии, потребляемой потребителями, с максимальной мощностью менее 670 кВт, подлежат использованию приборы учета класса точности 1,0 и выше - для точек присоединения к объектам </w:t>
      </w:r>
      <w:proofErr w:type="spellStart"/>
      <w:r w:rsidRPr="0041556F">
        <w:rPr>
          <w:rFonts w:ascii="Arial" w:eastAsia="Times New Roman" w:hAnsi="Arial" w:cs="Arial"/>
          <w:color w:val="545454"/>
          <w:sz w:val="17"/>
          <w:szCs w:val="17"/>
        </w:rPr>
        <w:t>электросетевого</w:t>
      </w:r>
      <w:proofErr w:type="spellEnd"/>
      <w:r w:rsidRPr="0041556F">
        <w:rPr>
          <w:rFonts w:ascii="Arial" w:eastAsia="Times New Roman" w:hAnsi="Arial" w:cs="Arial"/>
          <w:color w:val="545454"/>
          <w:sz w:val="17"/>
          <w:szCs w:val="17"/>
        </w:rPr>
        <w:t xml:space="preserve"> хозяйства напряжением 35 кВ и ниже и класса точности 0,5S и выше - для точек присоединения к объектам </w:t>
      </w:r>
      <w:proofErr w:type="spellStart"/>
      <w:r w:rsidRPr="0041556F">
        <w:rPr>
          <w:rFonts w:ascii="Arial" w:eastAsia="Times New Roman" w:hAnsi="Arial" w:cs="Arial"/>
          <w:color w:val="545454"/>
          <w:sz w:val="17"/>
          <w:szCs w:val="17"/>
        </w:rPr>
        <w:t>электросетевого</w:t>
      </w:r>
      <w:proofErr w:type="spellEnd"/>
      <w:r w:rsidRPr="0041556F">
        <w:rPr>
          <w:rFonts w:ascii="Arial" w:eastAsia="Times New Roman" w:hAnsi="Arial" w:cs="Arial"/>
          <w:color w:val="545454"/>
          <w:sz w:val="17"/>
          <w:szCs w:val="17"/>
        </w:rPr>
        <w:t xml:space="preserve"> хозяйства напряжением 110 кВ и выше.</w:t>
      </w:r>
      <w:proofErr w:type="gramEnd"/>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 xml:space="preserve">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w:t>
      </w:r>
      <w:proofErr w:type="gramStart"/>
      <w:r w:rsidRPr="0041556F">
        <w:rPr>
          <w:rFonts w:ascii="Arial" w:eastAsia="Times New Roman" w:hAnsi="Arial" w:cs="Arial"/>
          <w:color w:val="545454"/>
          <w:sz w:val="17"/>
          <w:szCs w:val="17"/>
        </w:rPr>
        <w:t>за</w:t>
      </w:r>
      <w:proofErr w:type="gramEnd"/>
      <w:r w:rsidRPr="0041556F">
        <w:rPr>
          <w:rFonts w:ascii="Arial" w:eastAsia="Times New Roman" w:hAnsi="Arial" w:cs="Arial"/>
          <w:color w:val="545454"/>
          <w:sz w:val="17"/>
          <w:szCs w:val="17"/>
        </w:rPr>
        <w:t xml:space="preserve"> последние 120 дней и более или включенные в систему учета.</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proofErr w:type="gramStart"/>
      <w:r w:rsidRPr="0041556F">
        <w:rPr>
          <w:rFonts w:ascii="Arial" w:eastAsia="Times New Roman" w:hAnsi="Arial" w:cs="Arial"/>
          <w:color w:val="545454"/>
          <w:sz w:val="17"/>
          <w:szCs w:val="17"/>
        </w:rPr>
        <w:t>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с соблюдением установленных законодательством Российской Федерации требований к местам установки приборов учета.</w:t>
      </w:r>
      <w:proofErr w:type="gramEnd"/>
      <w:r w:rsidRPr="0041556F">
        <w:rPr>
          <w:rFonts w:ascii="Arial" w:eastAsia="Times New Roman" w:hAnsi="Arial" w:cs="Arial"/>
          <w:color w:val="545454"/>
          <w:sz w:val="17"/>
          <w:szCs w:val="17"/>
        </w:rPr>
        <w:t xml:space="preserve">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 xml:space="preserve">Периодическая поверка прибора учета, измерительных трансформаторов должна проводиться по истечении </w:t>
      </w:r>
      <w:proofErr w:type="spellStart"/>
      <w:r w:rsidRPr="0041556F">
        <w:rPr>
          <w:rFonts w:ascii="Arial" w:eastAsia="Times New Roman" w:hAnsi="Arial" w:cs="Arial"/>
          <w:color w:val="545454"/>
          <w:sz w:val="17"/>
          <w:szCs w:val="17"/>
        </w:rPr>
        <w:t>межповерочного</w:t>
      </w:r>
      <w:proofErr w:type="spellEnd"/>
      <w:r w:rsidRPr="0041556F">
        <w:rPr>
          <w:rFonts w:ascii="Arial" w:eastAsia="Times New Roman" w:hAnsi="Arial" w:cs="Arial"/>
          <w:color w:val="545454"/>
          <w:sz w:val="17"/>
          <w:szCs w:val="17"/>
        </w:rPr>
        <w:t xml:space="preserve">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 xml:space="preserve">Каждый установленный расчетный счетчик должен иметь на винтах, крепящих кожух счетчика, пломбы с клеймом </w:t>
      </w:r>
      <w:proofErr w:type="spellStart"/>
      <w:r w:rsidRPr="0041556F">
        <w:rPr>
          <w:rFonts w:ascii="Arial" w:eastAsia="Times New Roman" w:hAnsi="Arial" w:cs="Arial"/>
          <w:color w:val="545454"/>
          <w:sz w:val="17"/>
          <w:szCs w:val="17"/>
        </w:rPr>
        <w:t>госповерителя</w:t>
      </w:r>
      <w:proofErr w:type="spellEnd"/>
      <w:r w:rsidRPr="0041556F">
        <w:rPr>
          <w:rFonts w:ascii="Arial" w:eastAsia="Times New Roman" w:hAnsi="Arial" w:cs="Arial"/>
          <w:color w:val="545454"/>
          <w:sz w:val="17"/>
          <w:szCs w:val="17"/>
        </w:rPr>
        <w:t xml:space="preserve">, а на зажимной крышке - пломбу </w:t>
      </w:r>
      <w:proofErr w:type="spellStart"/>
      <w:r w:rsidRPr="0041556F">
        <w:rPr>
          <w:rFonts w:ascii="Arial" w:eastAsia="Times New Roman" w:hAnsi="Arial" w:cs="Arial"/>
          <w:color w:val="545454"/>
          <w:sz w:val="17"/>
          <w:szCs w:val="17"/>
        </w:rPr>
        <w:t>энергоснабжающей</w:t>
      </w:r>
      <w:proofErr w:type="spellEnd"/>
      <w:r w:rsidRPr="0041556F">
        <w:rPr>
          <w:rFonts w:ascii="Arial" w:eastAsia="Times New Roman" w:hAnsi="Arial" w:cs="Arial"/>
          <w:color w:val="545454"/>
          <w:sz w:val="17"/>
          <w:szCs w:val="17"/>
        </w:rPr>
        <w:t xml:space="preserve"> организации.</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Счетчики должны устанавливаться в шкафах, камерах, комплектных распределительных устройствах, на панелях, щитах, в нишах, на стенах, имеющих жесткую конструкцию.</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Допускается крепление счетчиков на деревянных, пластмассовых или металлических щитках.</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Высота от пола до коробки зажимов счетчиков должна быть в пределах 0,8 - 1,7 м. Допускается высота менее 0,8 м, но не менее 0,4 м.</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lastRenderedPageBreak/>
        <w:t>Должна быть обеспечена возможность удобной замены счетчика и установки его с уклоном не более 1 град. Конструкция его крепления должна обеспечивать возможность установки и съема счетчика с лицевой стороны.</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Для безопасной установки и замены счетчиков в сетях напряжением до 380</w:t>
      </w:r>
      <w:proofErr w:type="gramStart"/>
      <w:r w:rsidRPr="0041556F">
        <w:rPr>
          <w:rFonts w:ascii="Arial" w:eastAsia="Times New Roman" w:hAnsi="Arial" w:cs="Arial"/>
          <w:color w:val="545454"/>
          <w:sz w:val="17"/>
          <w:szCs w:val="17"/>
        </w:rPr>
        <w:t xml:space="preserve"> В</w:t>
      </w:r>
      <w:proofErr w:type="gramEnd"/>
      <w:r w:rsidRPr="0041556F">
        <w:rPr>
          <w:rFonts w:ascii="Arial" w:eastAsia="Times New Roman" w:hAnsi="Arial" w:cs="Arial"/>
          <w:color w:val="545454"/>
          <w:sz w:val="17"/>
          <w:szCs w:val="17"/>
        </w:rPr>
        <w:t xml:space="preserve">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b/>
          <w:bCs/>
          <w:color w:val="545454"/>
          <w:sz w:val="17"/>
          <w:szCs w:val="17"/>
        </w:rPr>
        <w:t>Схемы подключения электросчетчиков*</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Схема подключения однофазного электросчетчика</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Pr>
          <w:rFonts w:ascii="Arial" w:eastAsia="Times New Roman" w:hAnsi="Arial" w:cs="Arial"/>
          <w:noProof/>
          <w:color w:val="545454"/>
          <w:sz w:val="17"/>
          <w:szCs w:val="17"/>
        </w:rPr>
        <w:drawing>
          <wp:inline distT="0" distB="0" distL="0" distR="0">
            <wp:extent cx="5932170" cy="3657600"/>
            <wp:effectExtent l="0" t="0" r="0" b="0"/>
            <wp:docPr id="1" name="Рисунок 1" descr="https://mrsk-cp.ru/upload/img_page/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rsk-cp.ru/upload/img_page/image002.png"/>
                    <pic:cNvPicPr>
                      <a:picLocks noChangeAspect="1" noChangeArrowheads="1"/>
                    </pic:cNvPicPr>
                  </pic:nvPicPr>
                  <pic:blipFill>
                    <a:blip r:embed="rId4"/>
                    <a:srcRect/>
                    <a:stretch>
                      <a:fillRect/>
                    </a:stretch>
                  </pic:blipFill>
                  <pic:spPr bwMode="auto">
                    <a:xfrm>
                      <a:off x="0" y="0"/>
                      <a:ext cx="5932170" cy="3657600"/>
                    </a:xfrm>
                    <a:prstGeom prst="rect">
                      <a:avLst/>
                    </a:prstGeom>
                    <a:noFill/>
                    <a:ln w="9525">
                      <a:noFill/>
                      <a:miter lim="800000"/>
                      <a:headEnd/>
                      <a:tailEnd/>
                    </a:ln>
                  </pic:spPr>
                </pic:pic>
              </a:graphicData>
            </a:graphic>
          </wp:inline>
        </w:drawing>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Схема подключения трехфазного электросчетчика к трехфазной 3-х или 4-х проводной сети</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Pr>
          <w:rFonts w:ascii="Arial" w:eastAsia="Times New Roman" w:hAnsi="Arial" w:cs="Arial"/>
          <w:noProof/>
          <w:color w:val="545454"/>
          <w:sz w:val="17"/>
          <w:szCs w:val="17"/>
        </w:rPr>
        <w:drawing>
          <wp:inline distT="0" distB="0" distL="0" distR="0">
            <wp:extent cx="5716905" cy="3166110"/>
            <wp:effectExtent l="19050" t="0" r="0" b="0"/>
            <wp:docPr id="2" name="Рисунок 2" descr="https://mrsk-cp.ru/upload/img_page/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rsk-cp.ru/upload/img_page/image004.jpg"/>
                    <pic:cNvPicPr>
                      <a:picLocks noChangeAspect="1" noChangeArrowheads="1"/>
                    </pic:cNvPicPr>
                  </pic:nvPicPr>
                  <pic:blipFill>
                    <a:blip r:embed="rId5"/>
                    <a:srcRect/>
                    <a:stretch>
                      <a:fillRect/>
                    </a:stretch>
                  </pic:blipFill>
                  <pic:spPr bwMode="auto">
                    <a:xfrm>
                      <a:off x="0" y="0"/>
                      <a:ext cx="5716905" cy="3166110"/>
                    </a:xfrm>
                    <a:prstGeom prst="rect">
                      <a:avLst/>
                    </a:prstGeom>
                    <a:noFill/>
                    <a:ln w="9525">
                      <a:noFill/>
                      <a:miter lim="800000"/>
                      <a:headEnd/>
                      <a:tailEnd/>
                    </a:ln>
                  </pic:spPr>
                </pic:pic>
              </a:graphicData>
            </a:graphic>
          </wp:inline>
        </w:drawing>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  - представленные выше схемы подключения электросчетчиков являются типовыми и могут отличаться в зависимости от завода-изготовителя и места установки. При установке электросчетчика необходимо руководствоваться паспортом завода-изготовителя на данное изделие.</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b/>
          <w:bCs/>
          <w:color w:val="545454"/>
          <w:sz w:val="17"/>
          <w:szCs w:val="17"/>
        </w:rPr>
        <w:t>Основные метрологические характеристики электросчетчиков**</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b/>
          <w:bCs/>
          <w:color w:val="545454"/>
          <w:sz w:val="17"/>
          <w:szCs w:val="17"/>
          <w:u w:val="single"/>
        </w:rPr>
        <w:t>Однофазные:</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Номинальное напряжение – 230</w:t>
      </w:r>
      <w:proofErr w:type="gramStart"/>
      <w:r w:rsidRPr="0041556F">
        <w:rPr>
          <w:rFonts w:ascii="Arial" w:eastAsia="Times New Roman" w:hAnsi="Arial" w:cs="Arial"/>
          <w:color w:val="545454"/>
          <w:sz w:val="17"/>
          <w:szCs w:val="17"/>
        </w:rPr>
        <w:t xml:space="preserve"> В</w:t>
      </w:r>
      <w:proofErr w:type="gramEnd"/>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Номинальный ток – 5(60) или 10(100) А</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proofErr w:type="gramStart"/>
      <w:r w:rsidRPr="0041556F">
        <w:rPr>
          <w:rFonts w:ascii="Arial" w:eastAsia="Times New Roman" w:hAnsi="Arial" w:cs="Arial"/>
          <w:b/>
          <w:bCs/>
          <w:color w:val="545454"/>
          <w:sz w:val="17"/>
          <w:szCs w:val="17"/>
          <w:u w:val="single"/>
        </w:rPr>
        <w:t>Трехфазные прямого включения:</w:t>
      </w:r>
      <w:proofErr w:type="gramEnd"/>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Номинальное напряжение – 3х230/400</w:t>
      </w:r>
      <w:proofErr w:type="gramStart"/>
      <w:r w:rsidRPr="0041556F">
        <w:rPr>
          <w:rFonts w:ascii="Arial" w:eastAsia="Times New Roman" w:hAnsi="Arial" w:cs="Arial"/>
          <w:color w:val="545454"/>
          <w:sz w:val="17"/>
          <w:szCs w:val="17"/>
        </w:rPr>
        <w:t xml:space="preserve"> В</w:t>
      </w:r>
      <w:proofErr w:type="gramEnd"/>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Номинальный ток – 5(60) или 10(100) А</w:t>
      </w: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p>
    <w:p w:rsidR="0041556F" w:rsidRPr="0041556F" w:rsidRDefault="0041556F" w:rsidP="0041556F">
      <w:pPr>
        <w:shd w:val="clear" w:color="auto" w:fill="FFFFFF"/>
        <w:spacing w:before="182" w:after="182" w:line="240" w:lineRule="auto"/>
        <w:rPr>
          <w:rFonts w:ascii="Arial" w:eastAsia="Times New Roman" w:hAnsi="Arial" w:cs="Arial"/>
          <w:color w:val="545454"/>
          <w:sz w:val="17"/>
          <w:szCs w:val="17"/>
        </w:rPr>
      </w:pPr>
      <w:r w:rsidRPr="0041556F">
        <w:rPr>
          <w:rFonts w:ascii="Arial" w:eastAsia="Times New Roman" w:hAnsi="Arial" w:cs="Arial"/>
          <w:color w:val="545454"/>
          <w:sz w:val="17"/>
          <w:szCs w:val="17"/>
        </w:rPr>
        <w:t>** - приведенные выше метрологические характеристики электросчетчиков могут отличаться в зависимости от модели и завода-изготовителя.</w:t>
      </w:r>
    </w:p>
    <w:p w:rsidR="006A3539" w:rsidRDefault="006A3539"/>
    <w:sectPr w:rsidR="006A3539" w:rsidSect="00180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41556F"/>
    <w:rsid w:val="0018021E"/>
    <w:rsid w:val="001A421C"/>
    <w:rsid w:val="0041556F"/>
    <w:rsid w:val="006A3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21E"/>
  </w:style>
  <w:style w:type="paragraph" w:styleId="1">
    <w:name w:val="heading 1"/>
    <w:basedOn w:val="a"/>
    <w:link w:val="10"/>
    <w:uiPriority w:val="9"/>
    <w:qFormat/>
    <w:rsid w:val="00415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56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155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155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5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151118">
      <w:bodyDiv w:val="1"/>
      <w:marLeft w:val="0"/>
      <w:marRight w:val="0"/>
      <w:marTop w:val="0"/>
      <w:marBottom w:val="0"/>
      <w:divBdr>
        <w:top w:val="none" w:sz="0" w:space="0" w:color="auto"/>
        <w:left w:val="none" w:sz="0" w:space="0" w:color="auto"/>
        <w:bottom w:val="none" w:sz="0" w:space="0" w:color="auto"/>
        <w:right w:val="none" w:sz="0" w:space="0" w:color="auto"/>
      </w:divBdr>
      <w:divsChild>
        <w:div w:id="1330060609">
          <w:marLeft w:val="0"/>
          <w:marRight w:val="0"/>
          <w:marTop w:val="0"/>
          <w:marBottom w:val="36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5583</Characters>
  <Application>Microsoft Office Word</Application>
  <DocSecurity>0</DocSecurity>
  <Lines>46</Lines>
  <Paragraphs>13</Paragraphs>
  <ScaleCrop>false</ScaleCrop>
  <Company>RePack by SPecialiST</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2018-07-24T11:45:00Z</dcterms:created>
  <dcterms:modified xsi:type="dcterms:W3CDTF">2018-07-31T11:51:00Z</dcterms:modified>
</cp:coreProperties>
</file>